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53961" w:rsidRDefault="00853961" w:rsidP="00853961">
      <w:pPr>
        <w:spacing w:after="200" w:line="480" w:lineRule="auto"/>
        <w:jc w:val="center"/>
      </w:pPr>
    </w:p>
    <w:p w:rsidR="00853961" w:rsidRDefault="00853961" w:rsidP="00853961">
      <w:pPr>
        <w:spacing w:after="200" w:line="480" w:lineRule="auto"/>
        <w:jc w:val="center"/>
      </w:pPr>
    </w:p>
    <w:p w:rsidR="00853961" w:rsidRDefault="00853961" w:rsidP="00853961">
      <w:pPr>
        <w:spacing w:after="200" w:line="480" w:lineRule="auto"/>
        <w:jc w:val="center"/>
      </w:pPr>
    </w:p>
    <w:p w:rsidR="00853961" w:rsidRDefault="00853961" w:rsidP="00853961">
      <w:pPr>
        <w:spacing w:after="200" w:line="480" w:lineRule="auto"/>
        <w:jc w:val="center"/>
      </w:pPr>
    </w:p>
    <w:p w:rsidR="00853961" w:rsidRDefault="00853961" w:rsidP="00853961">
      <w:pPr>
        <w:spacing w:after="200" w:line="480" w:lineRule="auto"/>
        <w:jc w:val="center"/>
      </w:pPr>
      <w:bookmarkStart w:id="0" w:name="_GoBack"/>
      <w:r>
        <w:t>SABS Case Comment</w:t>
      </w:r>
    </w:p>
    <w:bookmarkEnd w:id="0"/>
    <w:p w:rsidR="00853961" w:rsidRDefault="00853961" w:rsidP="00853961">
      <w:pPr>
        <w:spacing w:after="200" w:line="480" w:lineRule="auto"/>
        <w:jc w:val="center"/>
      </w:pPr>
      <w:r>
        <w:t>Name</w:t>
      </w:r>
    </w:p>
    <w:p w:rsidR="00853961" w:rsidRDefault="00853961" w:rsidP="00853961">
      <w:pPr>
        <w:spacing w:after="200" w:line="480" w:lineRule="auto"/>
        <w:jc w:val="center"/>
      </w:pPr>
      <w:r>
        <w:t>Institution</w:t>
      </w:r>
    </w:p>
    <w:p w:rsidR="00853961" w:rsidRDefault="00853961" w:rsidP="00853961">
      <w:pPr>
        <w:spacing w:after="200" w:line="480" w:lineRule="auto"/>
        <w:jc w:val="center"/>
      </w:pPr>
    </w:p>
    <w:p w:rsidR="00853961" w:rsidRDefault="00853961" w:rsidP="00853961">
      <w:pPr>
        <w:spacing w:after="200" w:line="480" w:lineRule="auto"/>
        <w:jc w:val="center"/>
      </w:pPr>
    </w:p>
    <w:p w:rsidR="00853961" w:rsidRDefault="00853961" w:rsidP="00853961">
      <w:pPr>
        <w:spacing w:after="200" w:line="480" w:lineRule="auto"/>
        <w:jc w:val="center"/>
      </w:pPr>
      <w:r>
        <w:t>Date</w:t>
      </w:r>
    </w:p>
    <w:p w:rsidR="00853961" w:rsidRDefault="00853961" w:rsidP="00325A01">
      <w:pPr>
        <w:spacing w:after="200" w:line="480" w:lineRule="auto"/>
      </w:pPr>
    </w:p>
    <w:p w:rsidR="00325A01" w:rsidRDefault="00853961" w:rsidP="00853961">
      <w:pPr>
        <w:spacing w:after="200" w:line="480" w:lineRule="auto"/>
      </w:pPr>
      <w:r>
        <w:br w:type="page"/>
      </w:r>
    </w:p>
    <w:p w:rsidR="00325A01" w:rsidRDefault="00325A01"/>
    <w:tbl>
      <w:tblPr>
        <w:tblW w:w="10170" w:type="dxa"/>
        <w:tblInd w:w="-342"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1E0" w:firstRow="1" w:lastRow="1" w:firstColumn="1" w:lastColumn="1" w:noHBand="0" w:noVBand="0"/>
      </w:tblPr>
      <w:tblGrid>
        <w:gridCol w:w="2225"/>
        <w:gridCol w:w="7945"/>
      </w:tblGrid>
      <w:tr w:rsidR="00DB7295" w:rsidTr="00325A01">
        <w:trPr>
          <w:trHeight w:val="510"/>
        </w:trPr>
        <w:tc>
          <w:tcPr>
            <w:tcW w:w="2225" w:type="dxa"/>
          </w:tcPr>
          <w:p w:rsidR="00DB7295" w:rsidRPr="00A9095F" w:rsidRDefault="00DB7295" w:rsidP="00325A01">
            <w:pPr>
              <w:rPr>
                <w:b/>
                <w:bCs/>
              </w:rPr>
            </w:pPr>
            <w:r>
              <w:rPr>
                <w:b/>
                <w:bCs/>
              </w:rPr>
              <w:t>Part 1:Analysis</w:t>
            </w:r>
          </w:p>
        </w:tc>
        <w:tc>
          <w:tcPr>
            <w:tcW w:w="7945" w:type="dxa"/>
          </w:tcPr>
          <w:p w:rsidR="00DB7295" w:rsidRPr="00DB7295" w:rsidRDefault="00DB7295" w:rsidP="00325A01">
            <w:pPr>
              <w:pStyle w:val="Heading4"/>
              <w:rPr>
                <w:rFonts w:ascii="Times New Roman" w:hAnsi="Times New Roman"/>
                <w:i/>
                <w:sz w:val="24"/>
                <w:szCs w:val="24"/>
              </w:rPr>
            </w:pPr>
            <w:r w:rsidRPr="0053010D">
              <w:rPr>
                <w:rFonts w:ascii="Times New Roman" w:hAnsi="Times New Roman"/>
                <w:sz w:val="24"/>
                <w:szCs w:val="24"/>
              </w:rPr>
              <w:t xml:space="preserve">Maximum:  </w:t>
            </w:r>
            <w:r w:rsidRPr="006D7AF3">
              <w:rPr>
                <w:rFonts w:ascii="Times New Roman" w:hAnsi="Times New Roman"/>
                <w:sz w:val="24"/>
                <w:szCs w:val="24"/>
              </w:rPr>
              <w:t xml:space="preserve">One page for Part 1 </w:t>
            </w:r>
            <w:r w:rsidRPr="00DB7295">
              <w:rPr>
                <w:rFonts w:ascii="Times New Roman" w:hAnsi="Times New Roman"/>
                <w:sz w:val="24"/>
                <w:szCs w:val="24"/>
              </w:rPr>
              <w:t>Total: 5 Marks</w:t>
            </w:r>
          </w:p>
        </w:tc>
      </w:tr>
      <w:tr w:rsidR="00DB7295" w:rsidTr="00325A01">
        <w:tc>
          <w:tcPr>
            <w:tcW w:w="2225" w:type="dxa"/>
          </w:tcPr>
          <w:p w:rsidR="00DB7295" w:rsidRPr="00DB7295" w:rsidRDefault="00DB7295" w:rsidP="00AD5F3B">
            <w:pPr>
              <w:pStyle w:val="ListParagraph"/>
              <w:numPr>
                <w:ilvl w:val="0"/>
                <w:numId w:val="2"/>
              </w:numPr>
              <w:spacing w:line="360" w:lineRule="auto"/>
              <w:rPr>
                <w:bCs/>
              </w:rPr>
            </w:pPr>
            <w:r w:rsidRPr="00DB7295">
              <w:rPr>
                <w:bCs/>
              </w:rPr>
              <w:t>mark</w:t>
            </w:r>
          </w:p>
        </w:tc>
        <w:tc>
          <w:tcPr>
            <w:tcW w:w="7945" w:type="dxa"/>
          </w:tcPr>
          <w:p w:rsidR="00DB7295" w:rsidRPr="00DB7295" w:rsidRDefault="00DB7295" w:rsidP="00AD5F3B">
            <w:pPr>
              <w:pStyle w:val="ListParagraph"/>
              <w:numPr>
                <w:ilvl w:val="0"/>
                <w:numId w:val="3"/>
              </w:numPr>
              <w:spacing w:line="360" w:lineRule="auto"/>
              <w:rPr>
                <w:bCs/>
              </w:rPr>
            </w:pPr>
            <w:r w:rsidRPr="00DB7295">
              <w:rPr>
                <w:b/>
              </w:rPr>
              <w:t>Facts</w:t>
            </w:r>
            <w:r>
              <w:rPr>
                <w:b/>
              </w:rPr>
              <w:t>:</w:t>
            </w:r>
            <w:r w:rsidRPr="00DB7295">
              <w:rPr>
                <w:b/>
              </w:rPr>
              <w:t xml:space="preserve"> </w:t>
            </w:r>
            <w:r w:rsidRPr="00DB7295">
              <w:rPr>
                <w:bCs/>
              </w:rPr>
              <w:t xml:space="preserve">Briefly outline the facts which gave rise to this case. </w:t>
            </w:r>
          </w:p>
          <w:p w:rsidR="00962D63" w:rsidRDefault="00DB7295" w:rsidP="00962D63">
            <w:pPr>
              <w:pStyle w:val="ListParagraph"/>
              <w:numPr>
                <w:ilvl w:val="0"/>
                <w:numId w:val="5"/>
              </w:numPr>
              <w:spacing w:line="360" w:lineRule="auto"/>
              <w:rPr>
                <w:bCs/>
              </w:rPr>
            </w:pPr>
            <w:r w:rsidRPr="00962D63">
              <w:rPr>
                <w:bCs/>
              </w:rPr>
              <w:t xml:space="preserve">Months after the court’s decision was made, an anonymous letter was sent to the applicant’s legal counsel claiming that on reviewing the adjudicator’s decision, the executive chair of Safety, Licensing Appeals and Standards </w:t>
            </w:r>
            <w:r w:rsidRPr="00962D63">
              <w:rPr>
                <w:color w:val="000000"/>
              </w:rPr>
              <w:t>“changed the decision to make the applicant not catastrophically impaired.”</w:t>
            </w:r>
            <w:r w:rsidRPr="00962D63">
              <w:rPr>
                <w:bCs/>
              </w:rPr>
              <w:t xml:space="preserve"> </w:t>
            </w:r>
          </w:p>
          <w:p w:rsidR="00DB7295" w:rsidRPr="00962D63" w:rsidRDefault="00DB7295" w:rsidP="00962D63">
            <w:pPr>
              <w:pStyle w:val="ListParagraph"/>
              <w:numPr>
                <w:ilvl w:val="0"/>
                <w:numId w:val="5"/>
              </w:numPr>
              <w:spacing w:line="360" w:lineRule="auto"/>
              <w:rPr>
                <w:bCs/>
              </w:rPr>
            </w:pPr>
            <w:r w:rsidRPr="00962D63">
              <w:rPr>
                <w:bCs/>
              </w:rPr>
              <w:t>The applicant enquired for further information on the process used by the adjudicator to reach to her decision and found out that she followed the unwritten review process enforced by the executive chair. The legal department sent the draft decision to the EC for review and comments</w:t>
            </w:r>
            <w:r w:rsidR="00E87D89" w:rsidRPr="00962D63">
              <w:rPr>
                <w:bCs/>
              </w:rPr>
              <w:t xml:space="preserve">. Her comments led to the revision of the review and the final decision released. </w:t>
            </w:r>
          </w:p>
        </w:tc>
      </w:tr>
      <w:tr w:rsidR="00DB7295" w:rsidTr="00325A01">
        <w:tc>
          <w:tcPr>
            <w:tcW w:w="2225" w:type="dxa"/>
          </w:tcPr>
          <w:p w:rsidR="00DB7295" w:rsidRDefault="00DB7295" w:rsidP="00AD5F3B">
            <w:pPr>
              <w:spacing w:line="360" w:lineRule="auto"/>
              <w:rPr>
                <w:bCs/>
              </w:rPr>
            </w:pPr>
            <w:r>
              <w:rPr>
                <w:bCs/>
              </w:rPr>
              <w:t>2 marks</w:t>
            </w:r>
          </w:p>
        </w:tc>
        <w:tc>
          <w:tcPr>
            <w:tcW w:w="7945" w:type="dxa"/>
          </w:tcPr>
          <w:p w:rsidR="00DB7295" w:rsidRDefault="00DB7295" w:rsidP="00AD5F3B">
            <w:pPr>
              <w:spacing w:line="360" w:lineRule="auto"/>
            </w:pPr>
            <w:r>
              <w:rPr>
                <w:bCs/>
              </w:rPr>
              <w:t xml:space="preserve">b)  </w:t>
            </w:r>
            <w:r>
              <w:rPr>
                <w:b/>
              </w:rPr>
              <w:t xml:space="preserve">Issues: </w:t>
            </w:r>
            <w:r>
              <w:t>What are the issues identified by the tribunal?  What legislation was considered?</w:t>
            </w:r>
          </w:p>
          <w:p w:rsidR="00DB7295" w:rsidRPr="00AD5F3B" w:rsidRDefault="00AD5F3B" w:rsidP="00AD5F3B">
            <w:pPr>
              <w:pStyle w:val="ListParagraph"/>
              <w:numPr>
                <w:ilvl w:val="0"/>
                <w:numId w:val="4"/>
              </w:numPr>
              <w:spacing w:line="360" w:lineRule="auto"/>
              <w:rPr>
                <w:bCs/>
              </w:rPr>
            </w:pPr>
            <w:r w:rsidRPr="00AD5F3B">
              <w:rPr>
                <w:bCs/>
              </w:rPr>
              <w:t>No actual impropriety had occurred in the case.</w:t>
            </w:r>
          </w:p>
          <w:p w:rsidR="00AD5F3B" w:rsidRPr="00AD5F3B" w:rsidRDefault="00AD5F3B" w:rsidP="00AD5F3B">
            <w:pPr>
              <w:pStyle w:val="ListParagraph"/>
              <w:numPr>
                <w:ilvl w:val="0"/>
                <w:numId w:val="4"/>
              </w:numPr>
              <w:spacing w:line="360" w:lineRule="auto"/>
              <w:rPr>
                <w:bCs/>
              </w:rPr>
            </w:pPr>
            <w:r w:rsidRPr="00AD5F3B">
              <w:rPr>
                <w:bCs/>
              </w:rPr>
              <w:t>The applicant failed to prove that the adjudicator was forced to change her decision by the executive chair.</w:t>
            </w:r>
          </w:p>
          <w:p w:rsidR="00AD5F3B" w:rsidRPr="00AD5F3B" w:rsidRDefault="00AD5F3B" w:rsidP="00AD5F3B">
            <w:pPr>
              <w:pStyle w:val="ListParagraph"/>
              <w:numPr>
                <w:ilvl w:val="0"/>
                <w:numId w:val="4"/>
              </w:numPr>
              <w:spacing w:line="360" w:lineRule="auto"/>
              <w:rPr>
                <w:bCs/>
              </w:rPr>
            </w:pPr>
            <w:r w:rsidRPr="00AD5F3B">
              <w:rPr>
                <w:bCs/>
              </w:rPr>
              <w:t xml:space="preserve">Decision making process used by LAT </w:t>
            </w:r>
            <w:r w:rsidR="000D49CB">
              <w:rPr>
                <w:bCs/>
              </w:rPr>
              <w:t>lacked the</w:t>
            </w:r>
            <w:r w:rsidRPr="00AD5F3B">
              <w:rPr>
                <w:bCs/>
              </w:rPr>
              <w:t xml:space="preserve"> minimum </w:t>
            </w:r>
            <w:r w:rsidR="000D49CB">
              <w:rPr>
                <w:bCs/>
              </w:rPr>
              <w:t>qualifications</w:t>
            </w:r>
            <w:r w:rsidRPr="00AD5F3B">
              <w:rPr>
                <w:bCs/>
              </w:rPr>
              <w:t xml:space="preserve"> to </w:t>
            </w:r>
            <w:r w:rsidR="000D49CB" w:rsidRPr="00AD5F3B">
              <w:rPr>
                <w:bCs/>
              </w:rPr>
              <w:t>guarantee</w:t>
            </w:r>
            <w:r w:rsidRPr="00AD5F3B">
              <w:rPr>
                <w:bCs/>
              </w:rPr>
              <w:t xml:space="preserve"> independence of the adjudicator’s decision.</w:t>
            </w:r>
          </w:p>
          <w:p w:rsidR="00AD5F3B" w:rsidRDefault="00AD5F3B" w:rsidP="00AD5F3B">
            <w:pPr>
              <w:pStyle w:val="ListParagraph"/>
              <w:numPr>
                <w:ilvl w:val="0"/>
                <w:numId w:val="4"/>
              </w:numPr>
              <w:spacing w:line="360" w:lineRule="auto"/>
              <w:rPr>
                <w:bCs/>
              </w:rPr>
            </w:pPr>
            <w:r w:rsidRPr="00AD5F3B">
              <w:rPr>
                <w:bCs/>
              </w:rPr>
              <w:t>Due to lack of voluntary consultative process, the decision does not reflect adjudicator’s independence in making the decision.</w:t>
            </w:r>
          </w:p>
          <w:p w:rsidR="00962D63" w:rsidRPr="00962D63" w:rsidRDefault="00962D63" w:rsidP="00962D63">
            <w:pPr>
              <w:spacing w:line="360" w:lineRule="auto"/>
              <w:rPr>
                <w:bCs/>
              </w:rPr>
            </w:pPr>
            <w:r>
              <w:rPr>
                <w:bCs/>
              </w:rPr>
              <w:t xml:space="preserve">The legislation considered was </w:t>
            </w:r>
            <w:r>
              <w:rPr>
                <w:i/>
                <w:iCs/>
                <w:color w:val="000000"/>
                <w:shd w:val="clear" w:color="auto" w:fill="FFFFFF"/>
              </w:rPr>
              <w:t>Ellis-Don Ltd. v. Ontario (Labour Relations Board</w:t>
            </w:r>
            <w:r>
              <w:rPr>
                <w:color w:val="000000"/>
                <w:shd w:val="clear" w:color="auto" w:fill="FFFFFF"/>
              </w:rPr>
              <w:t>), </w:t>
            </w:r>
            <w:hyperlink r:id="rId7" w:history="1">
              <w:r>
                <w:rPr>
                  <w:rStyle w:val="Hyperlink"/>
                  <w:shd w:val="clear" w:color="auto" w:fill="FFFFFF"/>
                </w:rPr>
                <w:t>2001 SCC 4 (CanLII)</w:t>
              </w:r>
            </w:hyperlink>
            <w:r>
              <w:rPr>
                <w:rStyle w:val="reflex3-block"/>
                <w:color w:val="000000"/>
                <w:shd w:val="clear" w:color="auto" w:fill="FFFFFF"/>
              </w:rPr>
              <w:t>, </w:t>
            </w:r>
            <w:r>
              <w:rPr>
                <w:rStyle w:val="reflex3-alt"/>
                <w:color w:val="000000"/>
                <w:shd w:val="clear" w:color="auto" w:fill="FFFFFF"/>
              </w:rPr>
              <w:t>[2001] 1 SCR 221</w:t>
            </w:r>
            <w:r w:rsidR="00325A01">
              <w:rPr>
                <w:rStyle w:val="reflex3-alt"/>
                <w:color w:val="000000"/>
                <w:shd w:val="clear" w:color="auto" w:fill="FFFFFF"/>
              </w:rPr>
              <w:t>.</w:t>
            </w:r>
          </w:p>
        </w:tc>
      </w:tr>
      <w:tr w:rsidR="00DB7295" w:rsidTr="00325A01">
        <w:tc>
          <w:tcPr>
            <w:tcW w:w="2225" w:type="dxa"/>
          </w:tcPr>
          <w:p w:rsidR="00DB7295" w:rsidRPr="00AD5F3B" w:rsidRDefault="00DB7295" w:rsidP="00AD5F3B">
            <w:pPr>
              <w:pStyle w:val="ListParagraph"/>
              <w:numPr>
                <w:ilvl w:val="0"/>
                <w:numId w:val="2"/>
              </w:numPr>
              <w:spacing w:line="360" w:lineRule="auto"/>
              <w:rPr>
                <w:bCs/>
              </w:rPr>
            </w:pPr>
            <w:r w:rsidRPr="00AD5F3B">
              <w:rPr>
                <w:bCs/>
              </w:rPr>
              <w:t>marks</w:t>
            </w:r>
          </w:p>
        </w:tc>
        <w:tc>
          <w:tcPr>
            <w:tcW w:w="7945" w:type="dxa"/>
          </w:tcPr>
          <w:p w:rsidR="00DB7295" w:rsidRPr="00AD5F3B" w:rsidRDefault="00DB7295" w:rsidP="00AD5F3B">
            <w:pPr>
              <w:pStyle w:val="ListParagraph"/>
              <w:numPr>
                <w:ilvl w:val="0"/>
                <w:numId w:val="3"/>
              </w:numPr>
              <w:spacing w:line="360" w:lineRule="auto"/>
              <w:rPr>
                <w:bCs/>
              </w:rPr>
            </w:pPr>
            <w:r w:rsidRPr="00AD5F3B">
              <w:rPr>
                <w:b/>
              </w:rPr>
              <w:t>Decision:</w:t>
            </w:r>
            <w:r w:rsidRPr="00AD5F3B">
              <w:rPr>
                <w:bCs/>
              </w:rPr>
              <w:t xml:space="preserve"> What decision was reached and why?</w:t>
            </w:r>
          </w:p>
          <w:p w:rsidR="00DB7295" w:rsidRDefault="00AD5F3B" w:rsidP="00962D63">
            <w:pPr>
              <w:pStyle w:val="ListParagraph"/>
              <w:numPr>
                <w:ilvl w:val="0"/>
                <w:numId w:val="6"/>
              </w:numPr>
              <w:spacing w:line="360" w:lineRule="auto"/>
            </w:pPr>
            <w:r>
              <w:t>The applicant was not catastrophically injured because her whole person impairment (WPI) did not exceed WPI threshold of 55%.</w:t>
            </w:r>
          </w:p>
          <w:p w:rsidR="00AD5F3B" w:rsidRPr="00AD5F3B" w:rsidRDefault="00AD5F3B" w:rsidP="00962D63">
            <w:pPr>
              <w:pStyle w:val="ListParagraph"/>
              <w:numPr>
                <w:ilvl w:val="0"/>
                <w:numId w:val="6"/>
              </w:numPr>
              <w:spacing w:line="360" w:lineRule="auto"/>
            </w:pPr>
            <w:r>
              <w:t>Adjudicator’s decision was set aside and referred to LAT for a new hearing since it lacked formal and voluntary process.</w:t>
            </w:r>
          </w:p>
        </w:tc>
      </w:tr>
    </w:tbl>
    <w:p w:rsidR="00DB7295" w:rsidRPr="00975501" w:rsidRDefault="000C782E" w:rsidP="000C782E">
      <w:pPr>
        <w:spacing w:line="480" w:lineRule="auto"/>
        <w:rPr>
          <w:b/>
        </w:rPr>
      </w:pPr>
      <w:r w:rsidRPr="00975501">
        <w:rPr>
          <w:b/>
        </w:rPr>
        <w:lastRenderedPageBreak/>
        <w:t>Part 2: Comment</w:t>
      </w:r>
    </w:p>
    <w:p w:rsidR="00E30743" w:rsidRDefault="00975501" w:rsidP="00975501">
      <w:pPr>
        <w:spacing w:line="480" w:lineRule="auto"/>
        <w:ind w:firstLine="720"/>
      </w:pPr>
      <w:r>
        <w:t>I do not agree with the decision made to refer the hearing to LAT. From the first hearing, the review of the adjudicator’s decision was conducted by an individual from a high level of authority and yet, the adjudicator did not make such a request. The Executive chair failed to provide evidence on the nature of the changes she requested despite the fact that the tribunal counseled that the decision makers are independent and free to make decision independently. As a result, the executive chair breached the 1</w:t>
      </w:r>
      <w:r w:rsidRPr="00975501">
        <w:rPr>
          <w:vertAlign w:val="superscript"/>
        </w:rPr>
        <w:t>st</w:t>
      </w:r>
      <w:r>
        <w:t xml:space="preserve"> requirement defined in Consolidated Bathurst stating that no consultation should be imposed by any high level authority in the hierarchy of administration, but can solely be a request from the adjudicator herself. </w:t>
      </w:r>
    </w:p>
    <w:p w:rsidR="00E30743" w:rsidRDefault="00E30743" w:rsidP="00ED716E">
      <w:pPr>
        <w:spacing w:line="480" w:lineRule="auto"/>
        <w:ind w:firstLine="720"/>
      </w:pPr>
      <w:r>
        <w:t>Considering all incidences in this case, I would say that it was a type of quality assurance (QA) review. Most tribunals involve review of the draft decision by a member of the tribunal to provide comments on proofreading grammar, consistent interpretations of the applied statutory provisions and to ensure that the internal clarity is coherent with the decision made. QA protocols require that the ultimate decision be made by each adjudicator independently. Therefore, the adjudicator’s act of seeking consultation from the executive chief lacks clarity on whether such an act was consistent with her ethical obligations. Therefore, the original adjudicator’s decision could have remained.</w:t>
      </w:r>
      <w:r w:rsidR="00165CD2">
        <w:t xml:space="preserve"> Members of the tribunal should have prepared their decision in accordance with the guidelines provided by Adjudicative Tribunals Accountability, Governance and Appointments (AATAGA) Act on standards for quality decision making (Sections 7 and 8).</w:t>
      </w:r>
    </w:p>
    <w:p w:rsidR="00975501" w:rsidRDefault="00CF6EF2" w:rsidP="00257737">
      <w:pPr>
        <w:spacing w:line="480" w:lineRule="auto"/>
        <w:ind w:firstLine="720"/>
      </w:pPr>
      <w:r>
        <w:t>Additionally, License Appeal Tribunal was established in 2016 and Shuttleworth’s case had started long before that as a catastrophic injury case. As such, adjudicating the case would make it have no basis of their argument</w:t>
      </w:r>
      <w:r w:rsidR="00B37388">
        <w:t>.</w:t>
      </w:r>
    </w:p>
    <w:p w:rsidR="00B37388" w:rsidRDefault="00B37388" w:rsidP="00DF6210">
      <w:pPr>
        <w:spacing w:line="480" w:lineRule="auto"/>
        <w:ind w:firstLine="720"/>
      </w:pPr>
      <w:r>
        <w:t xml:space="preserve">Public policy concerns were raised with respect to adjudicative independence. The decision of executive chair provided the reason for an appeal. The divisional </w:t>
      </w:r>
      <w:r w:rsidR="00570651">
        <w:t>court provided</w:t>
      </w:r>
      <w:r>
        <w:t xml:space="preserve"> that outside influence maybe permissible in some instances but there must be institutional consultation process put in place to protect decision maker’s independence. </w:t>
      </w:r>
      <w:r w:rsidR="00570651">
        <w:t xml:space="preserve">The contents of the </w:t>
      </w:r>
      <w:r w:rsidR="000D49CB">
        <w:t>unnamed</w:t>
      </w:r>
      <w:r w:rsidR="00570651">
        <w:t xml:space="preserve"> letter sent </w:t>
      </w:r>
      <w:r w:rsidR="00DF6210">
        <w:t xml:space="preserve">showed </w:t>
      </w:r>
      <w:r w:rsidR="000D49CB">
        <w:t>there was deficiency of the</w:t>
      </w:r>
      <w:r w:rsidR="00DF6210">
        <w:t xml:space="preserve"> necessary independence</w:t>
      </w:r>
      <w:r w:rsidR="000D49CB">
        <w:t xml:space="preserve"> in decision making</w:t>
      </w:r>
      <w:r w:rsidR="00DF6210">
        <w:t xml:space="preserve"> (Par. 15 of Shuttleworth’s case). </w:t>
      </w:r>
      <w:r w:rsidR="00DF6210" w:rsidRPr="00DF6210">
        <w:t>Divisional Court stated categorically that</w:t>
      </w:r>
      <w:r w:rsidRPr="00DF6210">
        <w:t xml:space="preserve"> “Justice must not only be done; it must be seen to be done. In the absence of a properly limited, voluntary consultative process, an informed, cautious observer would have a reasonable basis to believe that the decision did not reflect the independent decision of the adjudicator.” (</w:t>
      </w:r>
      <w:r w:rsidR="000D49CB">
        <w:t>p.</w:t>
      </w:r>
      <w:r w:rsidRPr="00DF6210">
        <w:t xml:space="preserve"> 21).</w:t>
      </w:r>
    </w:p>
    <w:p w:rsidR="00D56603" w:rsidRDefault="003608F1" w:rsidP="00CB64C1">
      <w:pPr>
        <w:spacing w:line="480" w:lineRule="auto"/>
        <w:ind w:firstLine="720"/>
        <w:rPr>
          <w:shd w:val="clear" w:color="auto" w:fill="FFFFFF"/>
        </w:rPr>
      </w:pPr>
      <w:r>
        <w:t xml:space="preserve">Several cases were appealed after this ruling was made to question on independence of the </w:t>
      </w:r>
      <w:r w:rsidRPr="003608F1">
        <w:t xml:space="preserve">decision maker. In </w:t>
      </w:r>
      <w:r w:rsidRPr="003608F1">
        <w:rPr>
          <w:i/>
          <w:iCs/>
          <w:shd w:val="clear" w:color="auto" w:fill="FFFFFF"/>
        </w:rPr>
        <w:t>IWA v. Consolidated</w:t>
      </w:r>
      <w:r w:rsidRPr="003608F1">
        <w:rPr>
          <w:i/>
          <w:iCs/>
          <w:shd w:val="clear" w:color="auto" w:fill="FFFFFF"/>
        </w:rPr>
        <w:noBreakHyphen/>
        <w:t>Bathurst Packaging Ltd.</w:t>
      </w:r>
      <w:r w:rsidRPr="003608F1">
        <w:rPr>
          <w:shd w:val="clear" w:color="auto" w:fill="FFFFFF"/>
        </w:rPr>
        <w:t>, 1990 CanLII 132 (SCC)</w:t>
      </w:r>
      <w:r>
        <w:rPr>
          <w:shd w:val="clear" w:color="auto" w:fill="FFFFFF"/>
        </w:rPr>
        <w:t xml:space="preserve"> case, </w:t>
      </w:r>
      <w:r w:rsidR="000D49CB">
        <w:rPr>
          <w:shd w:val="clear" w:color="auto" w:fill="FFFFFF"/>
        </w:rPr>
        <w:t>and the</w:t>
      </w:r>
      <w:r w:rsidR="00385E0F">
        <w:rPr>
          <w:shd w:val="clear" w:color="auto" w:fill="FFFFFF"/>
        </w:rPr>
        <w:t xml:space="preserve"> guiding principle was that the </w:t>
      </w:r>
      <w:r w:rsidR="000D49CB">
        <w:rPr>
          <w:shd w:val="clear" w:color="auto" w:fill="FFFFFF"/>
        </w:rPr>
        <w:t xml:space="preserve">one making the decision was </w:t>
      </w:r>
      <w:r w:rsidR="00385E0F">
        <w:rPr>
          <w:shd w:val="clear" w:color="auto" w:fill="FFFFFF"/>
        </w:rPr>
        <w:t xml:space="preserve">to be </w:t>
      </w:r>
      <w:r w:rsidR="000D49CB">
        <w:rPr>
          <w:shd w:val="clear" w:color="auto" w:fill="FFFFFF"/>
        </w:rPr>
        <w:t>open</w:t>
      </w:r>
      <w:r w:rsidR="00385E0F">
        <w:rPr>
          <w:shd w:val="clear" w:color="auto" w:fill="FFFFFF"/>
        </w:rPr>
        <w:t xml:space="preserve"> to give their ruling in </w:t>
      </w:r>
      <w:r w:rsidR="000D49CB">
        <w:rPr>
          <w:shd w:val="clear" w:color="auto" w:fill="FFFFFF"/>
        </w:rPr>
        <w:t>harmony</w:t>
      </w:r>
      <w:r w:rsidR="00385E0F">
        <w:rPr>
          <w:shd w:val="clear" w:color="auto" w:fill="FFFFFF"/>
        </w:rPr>
        <w:t xml:space="preserve"> to his </w:t>
      </w:r>
      <w:r w:rsidR="000D49CB">
        <w:rPr>
          <w:shd w:val="clear" w:color="auto" w:fill="FFFFFF"/>
        </w:rPr>
        <w:t>principles</w:t>
      </w:r>
      <w:r w:rsidR="00385E0F">
        <w:rPr>
          <w:shd w:val="clear" w:color="auto" w:fill="FFFFFF"/>
        </w:rPr>
        <w:t xml:space="preserve"> plus opinion. Consolidated-Bathurst asserts that </w:t>
      </w:r>
      <w:r w:rsidR="000D49CB">
        <w:rPr>
          <w:shd w:val="clear" w:color="auto" w:fill="FFFFFF"/>
        </w:rPr>
        <w:t>deliberations</w:t>
      </w:r>
      <w:r w:rsidR="00385E0F">
        <w:rPr>
          <w:shd w:val="clear" w:color="auto" w:fill="FFFFFF"/>
        </w:rPr>
        <w:t xml:space="preserve"> with collegues are allowed even if there is a risk of moral persuasion (p. 332). Also, adjudicators are can consider their colleagues’ opinions for the sake of adjudicative coherence (p. 331). Additionally, the adjudicator can benefit from the opinions of experienced board thereby fostering coherence in the tribunal’s jurisprudence </w:t>
      </w:r>
      <w:r w:rsidR="008A5D18">
        <w:rPr>
          <w:shd w:val="clear" w:color="auto" w:fill="FFFFFF"/>
        </w:rPr>
        <w:t xml:space="preserve">(p. 327). The court, however, concluded that any </w:t>
      </w:r>
      <w:r w:rsidR="00CB64C1">
        <w:rPr>
          <w:shd w:val="clear" w:color="auto" w:fill="FFFFFF"/>
        </w:rPr>
        <w:t>procedure which unjustifiably restricts</w:t>
      </w:r>
      <w:r w:rsidR="008A5D18">
        <w:rPr>
          <w:shd w:val="clear" w:color="auto" w:fill="FFFFFF"/>
        </w:rPr>
        <w:t xml:space="preserve"> independence of the decision maker was </w:t>
      </w:r>
      <w:r w:rsidR="000D49CB">
        <w:rPr>
          <w:shd w:val="clear" w:color="auto" w:fill="FFFFFF"/>
        </w:rPr>
        <w:t>differing from</w:t>
      </w:r>
      <w:r w:rsidR="008A5D18">
        <w:rPr>
          <w:shd w:val="clear" w:color="auto" w:fill="FFFFFF"/>
        </w:rPr>
        <w:t xml:space="preserve"> the rules and pr</w:t>
      </w:r>
      <w:r w:rsidR="000D49CB">
        <w:rPr>
          <w:shd w:val="clear" w:color="auto" w:fill="FFFFFF"/>
        </w:rPr>
        <w:t>inciples of natural justice (</w:t>
      </w:r>
      <w:r w:rsidR="008A5D18">
        <w:rPr>
          <w:shd w:val="clear" w:color="auto" w:fill="FFFFFF"/>
        </w:rPr>
        <w:t>323).</w:t>
      </w:r>
      <w:r w:rsidR="00CB64C1">
        <w:rPr>
          <w:shd w:val="clear" w:color="auto" w:fill="FFFFFF"/>
        </w:rPr>
        <w:t xml:space="preserve"> Ultimately, </w:t>
      </w:r>
      <w:r w:rsidR="00D56603">
        <w:rPr>
          <w:shd w:val="clear" w:color="auto" w:fill="FFFFFF"/>
        </w:rPr>
        <w:t xml:space="preserve">any activity which aims at compelling decision makers to make decisions against their own convictions is impermissible (p. 333). </w:t>
      </w:r>
    </w:p>
    <w:p w:rsidR="00CB64C1" w:rsidRDefault="00750F43" w:rsidP="00B2573A">
      <w:pPr>
        <w:spacing w:line="480" w:lineRule="auto"/>
        <w:ind w:firstLine="720"/>
        <w:rPr>
          <w:shd w:val="clear" w:color="auto" w:fill="FFFFFF"/>
        </w:rPr>
      </w:pPr>
      <w:r>
        <w:rPr>
          <w:shd w:val="clear" w:color="auto" w:fill="FFFFFF"/>
        </w:rPr>
        <w:t xml:space="preserve">After the dram in this case, there was need to clarify the role of LAT to understand why they interfered with the adjudicator’s decision. LAT defended itself by explaining their mandate as resolving disputes related to the entitlements of the insured individual in SABS benefits as well as the amount they are entitled to be paid. According to ATAGAA, executive chair is a member of </w:t>
      </w:r>
      <w:r w:rsidR="00E86E1C">
        <w:rPr>
          <w:shd w:val="clear" w:color="auto" w:fill="FFFFFF"/>
        </w:rPr>
        <w:t>LAT (</w:t>
      </w:r>
      <w:r>
        <w:rPr>
          <w:shd w:val="clear" w:color="auto" w:fill="FFFFFF"/>
        </w:rPr>
        <w:t>S</w:t>
      </w:r>
      <w:r w:rsidR="00E86E1C">
        <w:rPr>
          <w:shd w:val="clear" w:color="auto" w:fill="FFFFFF"/>
        </w:rPr>
        <w:t>s</w:t>
      </w:r>
      <w:r>
        <w:rPr>
          <w:shd w:val="clear" w:color="auto" w:fill="FFFFFF"/>
        </w:rPr>
        <w:t xml:space="preserve">. 17(1)) and can exercise unlimited </w:t>
      </w:r>
      <w:r w:rsidR="00E86E1C">
        <w:rPr>
          <w:shd w:val="clear" w:color="auto" w:fill="FFFFFF"/>
        </w:rPr>
        <w:t>authority</w:t>
      </w:r>
      <w:r>
        <w:rPr>
          <w:shd w:val="clear" w:color="auto" w:fill="FFFFFF"/>
        </w:rPr>
        <w:t xml:space="preserve"> along administrative hierarchy.</w:t>
      </w:r>
      <w:r w:rsidR="00E86E1C">
        <w:rPr>
          <w:shd w:val="clear" w:color="auto" w:fill="FFFFFF"/>
        </w:rPr>
        <w:t xml:space="preserve"> As such, the influence of the executive chair was improper and could be termed as abuse of authority. To improve the quality plus clarity of decisions made in LAT, decision review process was implemented by executive chair in LAT, but was yet to be adopted officially making it not applicable in this case. However, LAT claimed that final decisions passed through the executive chair for peer review that she may provide suggestions on improving clarity, reasoning as well as evaluating legal tests included. This lacks clarity on why she reversed the adjudicator’s decision. </w:t>
      </w:r>
    </w:p>
    <w:p w:rsidR="00C91DFE" w:rsidRPr="00C91DFE" w:rsidRDefault="00C91DFE" w:rsidP="00C91DFE">
      <w:pPr>
        <w:spacing w:line="480" w:lineRule="auto"/>
        <w:ind w:firstLine="720"/>
      </w:pPr>
      <w:r>
        <w:rPr>
          <w:shd w:val="clear" w:color="auto" w:fill="FFFFFF"/>
        </w:rPr>
        <w:t xml:space="preserve">ATAGAA has outlined a formal process to be followed in ensuring that members of the tribunal are accountable and offer answers both internally and externally to the people. However, </w:t>
      </w:r>
      <w:r w:rsidRPr="00C91DFE">
        <w:rPr>
          <w:shd w:val="clear" w:color="auto" w:fill="FFFFFF"/>
        </w:rPr>
        <w:t>executive chair offered no explanation on why she reversed the decision. The board states specifically that “</w:t>
      </w:r>
      <w:r w:rsidRPr="00C91DFE">
        <w:t>every adjudicative tribunal shall make its public accountability documents available to the public”</w:t>
      </w:r>
      <w:r>
        <w:t xml:space="preserve"> (A. 5, s. 8). Thus, the absence </w:t>
      </w:r>
      <w:r w:rsidR="009A2B39">
        <w:t xml:space="preserve">of a written document is an imperative act of non-compliance with ATAGAA policies by LAT. </w:t>
      </w:r>
    </w:p>
    <w:p w:rsidR="00C91DFE" w:rsidRPr="00C91DFE" w:rsidRDefault="00C91DFE" w:rsidP="00C91DFE">
      <w:pPr>
        <w:spacing w:line="480" w:lineRule="auto"/>
        <w:ind w:firstLine="720"/>
      </w:pPr>
    </w:p>
    <w:p w:rsidR="00C91DFE" w:rsidRDefault="00C91DFE" w:rsidP="00C91DFE">
      <w:pPr>
        <w:spacing w:line="480" w:lineRule="auto"/>
        <w:ind w:firstLine="720"/>
        <w:rPr>
          <w:rFonts w:ascii="Arial" w:hAnsi="Arial" w:cs="Arial"/>
          <w:color w:val="666666"/>
          <w:sz w:val="21"/>
          <w:szCs w:val="21"/>
        </w:rPr>
      </w:pPr>
      <w:r>
        <w:rPr>
          <w:rFonts w:ascii="Arial" w:hAnsi="Arial" w:cs="Arial"/>
          <w:color w:val="666666"/>
          <w:sz w:val="21"/>
          <w:szCs w:val="21"/>
        </w:rPr>
        <w:t>.</w:t>
      </w:r>
    </w:p>
    <w:p w:rsidR="009A2B39" w:rsidRDefault="009A2B39">
      <w:pPr>
        <w:spacing w:after="200" w:line="480" w:lineRule="auto"/>
        <w:ind w:left="720" w:hanging="720"/>
        <w:rPr>
          <w:b/>
        </w:rPr>
      </w:pPr>
      <w:r>
        <w:rPr>
          <w:b/>
        </w:rPr>
        <w:br w:type="page"/>
      </w:r>
    </w:p>
    <w:p w:rsidR="000C782E" w:rsidRPr="00165CD2" w:rsidRDefault="00EB683D" w:rsidP="00165CD2">
      <w:pPr>
        <w:spacing w:line="480" w:lineRule="auto"/>
        <w:jc w:val="center"/>
        <w:rPr>
          <w:b/>
        </w:rPr>
      </w:pPr>
      <w:r w:rsidRPr="00165CD2">
        <w:rPr>
          <w:b/>
        </w:rPr>
        <w:t>References</w:t>
      </w:r>
    </w:p>
    <w:p w:rsidR="00165CD2" w:rsidRPr="00165CD2" w:rsidRDefault="00165CD2" w:rsidP="00165CD2">
      <w:pPr>
        <w:pStyle w:val="Heading1"/>
        <w:spacing w:before="48" w:after="48" w:line="480" w:lineRule="auto"/>
        <w:ind w:left="720" w:hanging="720"/>
        <w:rPr>
          <w:rFonts w:ascii="Times New Roman" w:hAnsi="Times New Roman" w:cs="Times New Roman"/>
          <w:b w:val="0"/>
          <w:bCs w:val="0"/>
          <w:color w:val="auto"/>
          <w:sz w:val="24"/>
          <w:szCs w:val="24"/>
        </w:rPr>
      </w:pPr>
      <w:r w:rsidRPr="00165CD2">
        <w:rPr>
          <w:rFonts w:ascii="Times New Roman" w:hAnsi="Times New Roman" w:cs="Times New Roman"/>
          <w:b w:val="0"/>
          <w:bCs w:val="0"/>
          <w:color w:val="auto"/>
          <w:sz w:val="24"/>
          <w:szCs w:val="24"/>
        </w:rPr>
        <w:t>Adjudicative Tribunals Accountability, Governance and Appointments Act, 2009, S.O. 2009, c. 33, Sched. 5</w:t>
      </w:r>
      <w:r w:rsidR="00C91DFE">
        <w:rPr>
          <w:rFonts w:ascii="Times New Roman" w:hAnsi="Times New Roman" w:cs="Times New Roman"/>
          <w:b w:val="0"/>
          <w:bCs w:val="0"/>
          <w:color w:val="auto"/>
          <w:sz w:val="24"/>
          <w:szCs w:val="24"/>
        </w:rPr>
        <w:t>. S. 8</w:t>
      </w:r>
    </w:p>
    <w:p w:rsidR="00EB683D" w:rsidRPr="00165CD2" w:rsidRDefault="00EB683D" w:rsidP="00165CD2">
      <w:pPr>
        <w:spacing w:line="480" w:lineRule="auto"/>
        <w:ind w:left="720" w:hanging="720"/>
      </w:pPr>
      <w:r w:rsidRPr="00165CD2">
        <w:rPr>
          <w:spacing w:val="-3"/>
          <w:lang w:val="en-GB"/>
        </w:rPr>
        <w:t>IWA</w:t>
      </w:r>
      <w:r w:rsidRPr="00165CD2">
        <w:rPr>
          <w:i/>
          <w:iCs/>
          <w:spacing w:val="-3"/>
          <w:lang w:val="en-GB"/>
        </w:rPr>
        <w:t> v.</w:t>
      </w:r>
      <w:r w:rsidRPr="00165CD2">
        <w:rPr>
          <w:spacing w:val="-3"/>
          <w:lang w:val="en-GB"/>
        </w:rPr>
        <w:t> Consolidated</w:t>
      </w:r>
      <w:r w:rsidRPr="00165CD2">
        <w:rPr>
          <w:spacing w:val="-3"/>
          <w:lang w:val="en-GB"/>
        </w:rPr>
        <w:noBreakHyphen/>
        <w:t>Bathurst Packaging Ltd., [1990] 1 S.C.R. 282</w:t>
      </w:r>
    </w:p>
    <w:sectPr w:rsidR="00EB683D" w:rsidRPr="00165CD2" w:rsidSect="00853961">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022C1" w:rsidRDefault="003022C1" w:rsidP="00325A01">
      <w:r>
        <w:separator/>
      </w:r>
    </w:p>
  </w:endnote>
  <w:endnote w:type="continuationSeparator" w:id="0">
    <w:p w:rsidR="003022C1" w:rsidRDefault="003022C1" w:rsidP="00325A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022C1" w:rsidRDefault="003022C1" w:rsidP="00325A01">
      <w:r>
        <w:separator/>
      </w:r>
    </w:p>
  </w:footnote>
  <w:footnote w:type="continuationSeparator" w:id="0">
    <w:p w:rsidR="003022C1" w:rsidRDefault="003022C1" w:rsidP="00325A01">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30935766"/>
      <w:docPartObj>
        <w:docPartGallery w:val="Page Numbers (Top of Page)"/>
        <w:docPartUnique/>
      </w:docPartObj>
    </w:sdtPr>
    <w:sdtEndPr/>
    <w:sdtContent>
      <w:p w:rsidR="00853961" w:rsidRDefault="003022C1">
        <w:pPr>
          <w:pStyle w:val="Header"/>
          <w:jc w:val="right"/>
        </w:pPr>
        <w:r>
          <w:fldChar w:fldCharType="begin"/>
        </w:r>
        <w:r>
          <w:instrText xml:space="preserve"> PAGE   \* MERGEFORMAT </w:instrText>
        </w:r>
        <w:r>
          <w:fldChar w:fldCharType="separate"/>
        </w:r>
        <w:r w:rsidR="000870A4">
          <w:rPr>
            <w:noProof/>
          </w:rPr>
          <w:t>2</w:t>
        </w:r>
        <w:r>
          <w:rPr>
            <w:noProof/>
          </w:rPr>
          <w:fldChar w:fldCharType="end"/>
        </w:r>
      </w:p>
    </w:sdtContent>
  </w:sdt>
  <w:p w:rsidR="00853961" w:rsidRDefault="00853961">
    <w:pPr>
      <w:pStyle w:val="Header"/>
    </w:pPr>
    <w:r>
      <w:t>SABS CASE COMMENT</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3961" w:rsidRDefault="00853961">
    <w:pPr>
      <w:pStyle w:val="Header"/>
    </w:pPr>
    <w:r>
      <w:t>Running Head: SABS CASE COMMENT                                                                                     1</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24354E"/>
    <w:multiLevelType w:val="hybridMultilevel"/>
    <w:tmpl w:val="7E68D5D6"/>
    <w:lvl w:ilvl="0" w:tplc="0409000F">
      <w:start w:val="1"/>
      <w:numFmt w:val="decimal"/>
      <w:lvlText w:val="%1."/>
      <w:lvlJc w:val="left"/>
      <w:pPr>
        <w:tabs>
          <w:tab w:val="num" w:pos="720"/>
        </w:tabs>
        <w:ind w:left="720" w:hanging="360"/>
      </w:pPr>
      <w:rPr>
        <w:rFonts w:hint="default"/>
      </w:r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183C7586"/>
    <w:multiLevelType w:val="hybridMultilevel"/>
    <w:tmpl w:val="BFF8148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F2F5830"/>
    <w:multiLevelType w:val="hybridMultilevel"/>
    <w:tmpl w:val="FEFEF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F6722AF"/>
    <w:multiLevelType w:val="multilevel"/>
    <w:tmpl w:val="9D4AC4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3584C9D"/>
    <w:multiLevelType w:val="hybridMultilevel"/>
    <w:tmpl w:val="0676251E"/>
    <w:lvl w:ilvl="0" w:tplc="F162DA3E">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854062E"/>
    <w:multiLevelType w:val="hybridMultilevel"/>
    <w:tmpl w:val="652CE30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64AF56F3"/>
    <w:multiLevelType w:val="hybridMultilevel"/>
    <w:tmpl w:val="F2B6D7A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7F2C2023"/>
    <w:multiLevelType w:val="hybridMultilevel"/>
    <w:tmpl w:val="A5264514"/>
    <w:lvl w:ilvl="0" w:tplc="2542D4A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7"/>
  </w:num>
  <w:num w:numId="3">
    <w:abstractNumId w:val="4"/>
  </w:num>
  <w:num w:numId="4">
    <w:abstractNumId w:val="2"/>
  </w:num>
  <w:num w:numId="5">
    <w:abstractNumId w:val="6"/>
  </w:num>
  <w:num w:numId="6">
    <w:abstractNumId w:val="5"/>
  </w:num>
  <w:num w:numId="7">
    <w:abstractNumId w:val="0"/>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7295"/>
    <w:rsid w:val="00035A81"/>
    <w:rsid w:val="000870A4"/>
    <w:rsid w:val="000C782E"/>
    <w:rsid w:val="000D49CB"/>
    <w:rsid w:val="001126F8"/>
    <w:rsid w:val="00165CD2"/>
    <w:rsid w:val="00257737"/>
    <w:rsid w:val="003022C1"/>
    <w:rsid w:val="00325A01"/>
    <w:rsid w:val="003608F1"/>
    <w:rsid w:val="00385E0F"/>
    <w:rsid w:val="00396130"/>
    <w:rsid w:val="003D7956"/>
    <w:rsid w:val="00570651"/>
    <w:rsid w:val="0059626A"/>
    <w:rsid w:val="00671E95"/>
    <w:rsid w:val="006C2FF8"/>
    <w:rsid w:val="00750F43"/>
    <w:rsid w:val="00853961"/>
    <w:rsid w:val="008A5D18"/>
    <w:rsid w:val="00962D63"/>
    <w:rsid w:val="00975501"/>
    <w:rsid w:val="009A2B39"/>
    <w:rsid w:val="00AD5F3B"/>
    <w:rsid w:val="00B2573A"/>
    <w:rsid w:val="00B37388"/>
    <w:rsid w:val="00C91DFE"/>
    <w:rsid w:val="00CB64C1"/>
    <w:rsid w:val="00CF6EF2"/>
    <w:rsid w:val="00D56603"/>
    <w:rsid w:val="00DB7295"/>
    <w:rsid w:val="00DF6210"/>
    <w:rsid w:val="00E30743"/>
    <w:rsid w:val="00E86E1C"/>
    <w:rsid w:val="00E87D89"/>
    <w:rsid w:val="00EB683D"/>
    <w:rsid w:val="00ED71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2DD5D33-0AC0-4FCB-8E91-ED07D066AC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en-US" w:eastAsia="en-US" w:bidi="ar-SA"/>
      </w:rPr>
    </w:rPrDefault>
    <w:pPrDefault>
      <w:pPr>
        <w:spacing w:after="200" w:line="480" w:lineRule="auto"/>
        <w:ind w:left="720" w:hanging="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B7295"/>
    <w:pPr>
      <w:spacing w:after="0" w:line="240" w:lineRule="auto"/>
      <w:ind w:left="0" w:firstLine="0"/>
    </w:pPr>
    <w:rPr>
      <w:rFonts w:eastAsia="Times New Roman" w:cs="Times New Roman"/>
      <w:szCs w:val="24"/>
    </w:rPr>
  </w:style>
  <w:style w:type="paragraph" w:styleId="Heading1">
    <w:name w:val="heading 1"/>
    <w:basedOn w:val="Normal"/>
    <w:next w:val="Normal"/>
    <w:link w:val="Heading1Char"/>
    <w:uiPriority w:val="9"/>
    <w:qFormat/>
    <w:rsid w:val="00165CD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4">
    <w:name w:val="heading 4"/>
    <w:basedOn w:val="Normal"/>
    <w:next w:val="Normal"/>
    <w:link w:val="Heading4Char"/>
    <w:unhideWhenUsed/>
    <w:qFormat/>
    <w:rsid w:val="00DB7295"/>
    <w:pPr>
      <w:keepNext/>
      <w:spacing w:before="240" w:after="60"/>
      <w:outlineLvl w:val="3"/>
    </w:pPr>
    <w:rPr>
      <w:rFonts w:ascii="Calibri" w:hAnsi="Calibr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rsid w:val="00DB7295"/>
    <w:rPr>
      <w:rFonts w:ascii="Calibri" w:eastAsia="Times New Roman" w:hAnsi="Calibri" w:cs="Times New Roman"/>
      <w:b/>
      <w:bCs/>
      <w:sz w:val="28"/>
      <w:szCs w:val="28"/>
    </w:rPr>
  </w:style>
  <w:style w:type="paragraph" w:styleId="ListParagraph">
    <w:name w:val="List Paragraph"/>
    <w:basedOn w:val="Normal"/>
    <w:uiPriority w:val="34"/>
    <w:qFormat/>
    <w:rsid w:val="00DB7295"/>
    <w:pPr>
      <w:ind w:left="720"/>
      <w:contextualSpacing/>
    </w:pPr>
  </w:style>
  <w:style w:type="paragraph" w:customStyle="1" w:styleId="mainparagraph0">
    <w:name w:val="mainparagraph0"/>
    <w:basedOn w:val="Normal"/>
    <w:rsid w:val="00DB7295"/>
    <w:pPr>
      <w:spacing w:before="100" w:beforeAutospacing="1" w:after="100" w:afterAutospacing="1"/>
    </w:pPr>
  </w:style>
  <w:style w:type="character" w:customStyle="1" w:styleId="reflex3-block">
    <w:name w:val="reflex3-block"/>
    <w:basedOn w:val="DefaultParagraphFont"/>
    <w:rsid w:val="00962D63"/>
  </w:style>
  <w:style w:type="character" w:styleId="Hyperlink">
    <w:name w:val="Hyperlink"/>
    <w:basedOn w:val="DefaultParagraphFont"/>
    <w:uiPriority w:val="99"/>
    <w:semiHidden/>
    <w:unhideWhenUsed/>
    <w:rsid w:val="00962D63"/>
    <w:rPr>
      <w:color w:val="0000FF"/>
      <w:u w:val="single"/>
    </w:rPr>
  </w:style>
  <w:style w:type="character" w:customStyle="1" w:styleId="reflex3-alt">
    <w:name w:val="reflex3-alt"/>
    <w:basedOn w:val="DefaultParagraphFont"/>
    <w:rsid w:val="00962D63"/>
  </w:style>
  <w:style w:type="paragraph" w:styleId="Header">
    <w:name w:val="header"/>
    <w:basedOn w:val="Normal"/>
    <w:link w:val="HeaderChar"/>
    <w:uiPriority w:val="99"/>
    <w:unhideWhenUsed/>
    <w:rsid w:val="00325A01"/>
    <w:pPr>
      <w:tabs>
        <w:tab w:val="center" w:pos="4680"/>
        <w:tab w:val="right" w:pos="9360"/>
      </w:tabs>
    </w:pPr>
  </w:style>
  <w:style w:type="character" w:customStyle="1" w:styleId="HeaderChar">
    <w:name w:val="Header Char"/>
    <w:basedOn w:val="DefaultParagraphFont"/>
    <w:link w:val="Header"/>
    <w:uiPriority w:val="99"/>
    <w:rsid w:val="00325A01"/>
    <w:rPr>
      <w:rFonts w:eastAsia="Times New Roman" w:cs="Times New Roman"/>
      <w:szCs w:val="24"/>
    </w:rPr>
  </w:style>
  <w:style w:type="paragraph" w:styleId="Footer">
    <w:name w:val="footer"/>
    <w:basedOn w:val="Normal"/>
    <w:link w:val="FooterChar"/>
    <w:uiPriority w:val="99"/>
    <w:semiHidden/>
    <w:unhideWhenUsed/>
    <w:rsid w:val="00325A01"/>
    <w:pPr>
      <w:tabs>
        <w:tab w:val="center" w:pos="4680"/>
        <w:tab w:val="right" w:pos="9360"/>
      </w:tabs>
    </w:pPr>
  </w:style>
  <w:style w:type="character" w:customStyle="1" w:styleId="FooterChar">
    <w:name w:val="Footer Char"/>
    <w:basedOn w:val="DefaultParagraphFont"/>
    <w:link w:val="Footer"/>
    <w:uiPriority w:val="99"/>
    <w:semiHidden/>
    <w:rsid w:val="00325A01"/>
    <w:rPr>
      <w:rFonts w:eastAsia="Times New Roman" w:cs="Times New Roman"/>
      <w:szCs w:val="24"/>
    </w:rPr>
  </w:style>
  <w:style w:type="paragraph" w:styleId="NormalWeb">
    <w:name w:val="Normal (Web)"/>
    <w:basedOn w:val="Normal"/>
    <w:uiPriority w:val="99"/>
    <w:semiHidden/>
    <w:unhideWhenUsed/>
    <w:rsid w:val="00975501"/>
    <w:pPr>
      <w:spacing w:before="100" w:beforeAutospacing="1" w:after="100" w:afterAutospacing="1"/>
    </w:pPr>
  </w:style>
  <w:style w:type="character" w:customStyle="1" w:styleId="Heading1Char">
    <w:name w:val="Heading 1 Char"/>
    <w:basedOn w:val="DefaultParagraphFont"/>
    <w:link w:val="Heading1"/>
    <w:uiPriority w:val="9"/>
    <w:rsid w:val="00165CD2"/>
    <w:rPr>
      <w:rFonts w:asciiTheme="majorHAnsi" w:eastAsiaTheme="majorEastAsia" w:hAnsiTheme="majorHAnsi" w:cstheme="majorBidi"/>
      <w:b/>
      <w:bCs/>
      <w:color w:val="365F91" w:themeColor="accent1" w:themeShade="BF"/>
      <w:sz w:val="28"/>
      <w:szCs w:val="28"/>
    </w:rPr>
  </w:style>
  <w:style w:type="character" w:styleId="Strong">
    <w:name w:val="Strong"/>
    <w:basedOn w:val="DefaultParagraphFont"/>
    <w:uiPriority w:val="22"/>
    <w:qFormat/>
    <w:rsid w:val="00750F43"/>
    <w:rPr>
      <w:b/>
      <w:bCs/>
    </w:rPr>
  </w:style>
  <w:style w:type="character" w:styleId="Emphasis">
    <w:name w:val="Emphasis"/>
    <w:basedOn w:val="DefaultParagraphFont"/>
    <w:uiPriority w:val="20"/>
    <w:qFormat/>
    <w:rsid w:val="00750F4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1889870">
      <w:bodyDiv w:val="1"/>
      <w:marLeft w:val="0"/>
      <w:marRight w:val="0"/>
      <w:marTop w:val="0"/>
      <w:marBottom w:val="0"/>
      <w:divBdr>
        <w:top w:val="none" w:sz="0" w:space="0" w:color="auto"/>
        <w:left w:val="none" w:sz="0" w:space="0" w:color="auto"/>
        <w:bottom w:val="none" w:sz="0" w:space="0" w:color="auto"/>
        <w:right w:val="none" w:sz="0" w:space="0" w:color="auto"/>
      </w:divBdr>
    </w:div>
    <w:div w:id="397169674">
      <w:bodyDiv w:val="1"/>
      <w:marLeft w:val="0"/>
      <w:marRight w:val="0"/>
      <w:marTop w:val="0"/>
      <w:marBottom w:val="0"/>
      <w:divBdr>
        <w:top w:val="none" w:sz="0" w:space="0" w:color="auto"/>
        <w:left w:val="none" w:sz="0" w:space="0" w:color="auto"/>
        <w:bottom w:val="none" w:sz="0" w:space="0" w:color="auto"/>
        <w:right w:val="none" w:sz="0" w:space="0" w:color="auto"/>
      </w:divBdr>
    </w:div>
    <w:div w:id="540099122">
      <w:bodyDiv w:val="1"/>
      <w:marLeft w:val="0"/>
      <w:marRight w:val="0"/>
      <w:marTop w:val="0"/>
      <w:marBottom w:val="0"/>
      <w:divBdr>
        <w:top w:val="none" w:sz="0" w:space="0" w:color="auto"/>
        <w:left w:val="none" w:sz="0" w:space="0" w:color="auto"/>
        <w:bottom w:val="none" w:sz="0" w:space="0" w:color="auto"/>
        <w:right w:val="none" w:sz="0" w:space="0" w:color="auto"/>
      </w:divBdr>
    </w:div>
    <w:div w:id="719134436">
      <w:bodyDiv w:val="1"/>
      <w:marLeft w:val="0"/>
      <w:marRight w:val="0"/>
      <w:marTop w:val="0"/>
      <w:marBottom w:val="0"/>
      <w:divBdr>
        <w:top w:val="none" w:sz="0" w:space="0" w:color="auto"/>
        <w:left w:val="none" w:sz="0" w:space="0" w:color="auto"/>
        <w:bottom w:val="none" w:sz="0" w:space="0" w:color="auto"/>
        <w:right w:val="none" w:sz="0" w:space="0" w:color="auto"/>
      </w:divBdr>
    </w:div>
    <w:div w:id="873887070">
      <w:bodyDiv w:val="1"/>
      <w:marLeft w:val="0"/>
      <w:marRight w:val="0"/>
      <w:marTop w:val="0"/>
      <w:marBottom w:val="0"/>
      <w:divBdr>
        <w:top w:val="none" w:sz="0" w:space="0" w:color="auto"/>
        <w:left w:val="none" w:sz="0" w:space="0" w:color="auto"/>
        <w:bottom w:val="none" w:sz="0" w:space="0" w:color="auto"/>
        <w:right w:val="none" w:sz="0" w:space="0" w:color="auto"/>
      </w:divBdr>
    </w:div>
    <w:div w:id="961886743">
      <w:bodyDiv w:val="1"/>
      <w:marLeft w:val="0"/>
      <w:marRight w:val="0"/>
      <w:marTop w:val="0"/>
      <w:marBottom w:val="0"/>
      <w:divBdr>
        <w:top w:val="none" w:sz="0" w:space="0" w:color="auto"/>
        <w:left w:val="none" w:sz="0" w:space="0" w:color="auto"/>
        <w:bottom w:val="none" w:sz="0" w:space="0" w:color="auto"/>
        <w:right w:val="none" w:sz="0" w:space="0" w:color="auto"/>
      </w:divBdr>
    </w:div>
    <w:div w:id="1218979709">
      <w:bodyDiv w:val="1"/>
      <w:marLeft w:val="0"/>
      <w:marRight w:val="0"/>
      <w:marTop w:val="0"/>
      <w:marBottom w:val="0"/>
      <w:divBdr>
        <w:top w:val="none" w:sz="0" w:space="0" w:color="auto"/>
        <w:left w:val="none" w:sz="0" w:space="0" w:color="auto"/>
        <w:bottom w:val="none" w:sz="0" w:space="0" w:color="auto"/>
        <w:right w:val="none" w:sz="0" w:space="0" w:color="auto"/>
      </w:divBdr>
    </w:div>
    <w:div w:id="21362198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canlii.org/en/ca/scc/doc/2001/2001scc4/2001scc4.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1104</Words>
  <Characters>6293</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2020-01-27T19:22:00Z</dcterms:created>
  <dcterms:modified xsi:type="dcterms:W3CDTF">2020-01-27T19:22:00Z</dcterms:modified>
</cp:coreProperties>
</file>